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C9" w:rsidRDefault="00D201C9" w:rsidP="00D201C9">
      <w:pPr>
        <w:jc w:val="center"/>
        <w:rPr>
          <w:b/>
          <w:color w:val="000000"/>
          <w:sz w:val="32"/>
        </w:rPr>
      </w:pPr>
      <w:r>
        <w:rPr>
          <w:b/>
          <w:color w:val="000000"/>
          <w:sz w:val="32"/>
        </w:rPr>
        <w:t>Selected Landmark Decisions of the U.S. Supreme Court</w:t>
      </w:r>
    </w:p>
    <w:p w:rsidR="00D201C9" w:rsidRDefault="00D201C9" w:rsidP="00D201C9">
      <w:pPr>
        <w:rPr>
          <w:color w:val="000000"/>
        </w:rPr>
      </w:pPr>
    </w:p>
    <w:p w:rsidR="00D201C9" w:rsidRDefault="00D201C9" w:rsidP="00D201C9">
      <w:pPr>
        <w:rPr>
          <w:color w:val="000000"/>
        </w:rPr>
      </w:pPr>
      <w:r>
        <w:rPr>
          <w:color w:val="000000"/>
        </w:rPr>
        <w:t xml:space="preserve">1803: </w:t>
      </w:r>
      <w:r>
        <w:rPr>
          <w:i/>
          <w:color w:val="000000"/>
        </w:rPr>
        <w:t>Marbury v. Madison</w:t>
      </w:r>
      <w:r>
        <w:rPr>
          <w:color w:val="000000"/>
        </w:rPr>
        <w:t>.  The Court ruled that Congress exceeded its power in the Judiciary Act of 1789; thus, the Court established its power to review acts of Congress and declare invalid those it found in conflict with the Constitution.</w:t>
      </w:r>
    </w:p>
    <w:p w:rsidR="00D201C9" w:rsidRDefault="00D201C9" w:rsidP="00D201C9">
      <w:pPr>
        <w:rPr>
          <w:color w:val="000000"/>
        </w:rPr>
      </w:pPr>
    </w:p>
    <w:p w:rsidR="00D201C9" w:rsidRDefault="00D201C9" w:rsidP="00D201C9">
      <w:pPr>
        <w:rPr>
          <w:color w:val="000000"/>
        </w:rPr>
      </w:pPr>
      <w:r>
        <w:rPr>
          <w:color w:val="000000"/>
        </w:rPr>
        <w:t xml:space="preserve">1819: </w:t>
      </w:r>
      <w:r>
        <w:rPr>
          <w:i/>
          <w:color w:val="000000"/>
        </w:rPr>
        <w:t>McCulloch v. Maryland</w:t>
      </w:r>
      <w:r>
        <w:rPr>
          <w:color w:val="000000"/>
        </w:rPr>
        <w:t>.  The Court ruled that Congress had the authority to charter a national bank, under the Constitution's granting of the power to enact all laws "necessary and proper" to exact the responsibilities of government. The Court also held that the national bank was immune to state taxation.</w:t>
      </w:r>
    </w:p>
    <w:p w:rsidR="00D201C9" w:rsidRDefault="00D201C9" w:rsidP="00D201C9">
      <w:pPr>
        <w:rPr>
          <w:color w:val="000000"/>
        </w:rPr>
      </w:pPr>
    </w:p>
    <w:p w:rsidR="00D201C9" w:rsidRDefault="00D201C9" w:rsidP="00D201C9">
      <w:pPr>
        <w:rPr>
          <w:color w:val="000000"/>
        </w:rPr>
      </w:pPr>
      <w:r>
        <w:rPr>
          <w:color w:val="000000"/>
        </w:rPr>
        <w:t xml:space="preserve">1857: </w:t>
      </w:r>
      <w:r>
        <w:rPr>
          <w:i/>
          <w:color w:val="000000"/>
        </w:rPr>
        <w:t>Dred Scott v. Sanford</w:t>
      </w:r>
      <w:r>
        <w:rPr>
          <w:color w:val="000000"/>
        </w:rPr>
        <w:t>.  The Court declared unconstitutional the already-repealed Missouri Compromise of 1820 because it deprived a person of his property-a slave-without due process of law. The Court also ruled that slaves were not citizens of any state nor of the U.S. (The latter part of the decision was overturned by ratification of the 14th Amendment in 1868.)</w:t>
      </w:r>
    </w:p>
    <w:p w:rsidR="00D201C9" w:rsidRDefault="00D201C9" w:rsidP="00D201C9">
      <w:pPr>
        <w:rPr>
          <w:color w:val="000000"/>
        </w:rPr>
      </w:pPr>
    </w:p>
    <w:p w:rsidR="00D201C9" w:rsidRDefault="00D201C9" w:rsidP="00D201C9">
      <w:pPr>
        <w:rPr>
          <w:color w:val="000000"/>
        </w:rPr>
      </w:pPr>
      <w:r>
        <w:rPr>
          <w:color w:val="000000"/>
        </w:rPr>
        <w:t xml:space="preserve">1896: </w:t>
      </w:r>
      <w:r>
        <w:rPr>
          <w:i/>
          <w:color w:val="000000"/>
        </w:rPr>
        <w:t>Plessy v. Ferguson</w:t>
      </w:r>
      <w:r>
        <w:rPr>
          <w:color w:val="000000"/>
        </w:rPr>
        <w:t>.  The Court ruled that a state law requiring federal railroad trains to provide separate but equal facilities for black and white passengers neither infringed upon federal authority to regulate interstate commerce nor violated the 13th and 14th Amendments. (The "separate but equal" doctrine remained effective until the 1954 Brown v. Board of Education decision.)</w:t>
      </w:r>
    </w:p>
    <w:p w:rsidR="00D201C9" w:rsidRDefault="00D201C9" w:rsidP="00D201C9">
      <w:pPr>
        <w:rPr>
          <w:color w:val="000000"/>
        </w:rPr>
      </w:pPr>
    </w:p>
    <w:p w:rsidR="00D201C9" w:rsidRDefault="00D201C9" w:rsidP="00D201C9">
      <w:pPr>
        <w:rPr>
          <w:color w:val="000000"/>
        </w:rPr>
      </w:pPr>
      <w:r>
        <w:rPr>
          <w:color w:val="000000"/>
        </w:rPr>
        <w:t xml:space="preserve">1908: </w:t>
      </w:r>
      <w:r>
        <w:rPr>
          <w:i/>
          <w:color w:val="000000"/>
        </w:rPr>
        <w:t>Muller v. Oregon</w:t>
      </w:r>
      <w:r>
        <w:rPr>
          <w:color w:val="000000"/>
        </w:rPr>
        <w:t xml:space="preserve">.  The Court ruled to uphold a state law limiting the maximum working hours of women. (Instead of presenting legal arguments, Louis D. Brandeis, counsel for the state, brought forth evidence from social workers, physicians, and factory inspectors that the number of </w:t>
      </w:r>
      <w:proofErr w:type="gramStart"/>
      <w:r>
        <w:rPr>
          <w:color w:val="000000"/>
        </w:rPr>
        <w:t>hours</w:t>
      </w:r>
      <w:proofErr w:type="gramEnd"/>
      <w:r>
        <w:rPr>
          <w:color w:val="000000"/>
        </w:rPr>
        <w:t xml:space="preserve"> women worked affected their health and morals.)</w:t>
      </w:r>
    </w:p>
    <w:p w:rsidR="00D201C9" w:rsidRDefault="00D201C9" w:rsidP="00D201C9">
      <w:pPr>
        <w:rPr>
          <w:color w:val="000000"/>
        </w:rPr>
      </w:pPr>
    </w:p>
    <w:p w:rsidR="00D201C9" w:rsidRDefault="00D201C9" w:rsidP="00D201C9">
      <w:pPr>
        <w:rPr>
          <w:color w:val="000000"/>
        </w:rPr>
      </w:pPr>
      <w:r>
        <w:rPr>
          <w:color w:val="000000"/>
        </w:rPr>
        <w:t xml:space="preserve">1911: </w:t>
      </w:r>
      <w:r>
        <w:rPr>
          <w:i/>
          <w:color w:val="000000"/>
        </w:rPr>
        <w:t>Standard Oil. Co. of New Jersey et al. v. U.S</w:t>
      </w:r>
      <w:r>
        <w:rPr>
          <w:color w:val="000000"/>
        </w:rPr>
        <w:t xml:space="preserve">.  The Court ruled that the Standard Oil Trust </w:t>
      </w:r>
      <w:proofErr w:type="gramStart"/>
      <w:r>
        <w:rPr>
          <w:color w:val="000000"/>
        </w:rPr>
        <w:t>must be dissolved</w:t>
      </w:r>
      <w:proofErr w:type="gramEnd"/>
      <w:r>
        <w:rPr>
          <w:color w:val="000000"/>
        </w:rPr>
        <w:t xml:space="preserve"> because of its unreasonable restraint of trade, not because of its size.</w:t>
      </w:r>
    </w:p>
    <w:p w:rsidR="00D201C9" w:rsidRDefault="00D201C9" w:rsidP="00D201C9">
      <w:pPr>
        <w:rPr>
          <w:color w:val="000000"/>
        </w:rPr>
      </w:pPr>
    </w:p>
    <w:p w:rsidR="00D201C9" w:rsidRDefault="00D201C9" w:rsidP="00D201C9">
      <w:pPr>
        <w:rPr>
          <w:color w:val="000000"/>
        </w:rPr>
      </w:pPr>
      <w:r>
        <w:rPr>
          <w:color w:val="000000"/>
        </w:rPr>
        <w:t xml:space="preserve">1919: </w:t>
      </w:r>
      <w:proofErr w:type="spellStart"/>
      <w:r>
        <w:rPr>
          <w:i/>
          <w:color w:val="000000"/>
        </w:rPr>
        <w:t>Schenck</w:t>
      </w:r>
      <w:proofErr w:type="spellEnd"/>
      <w:r>
        <w:rPr>
          <w:i/>
          <w:color w:val="000000"/>
        </w:rPr>
        <w:t xml:space="preserve"> v. U.S</w:t>
      </w:r>
      <w:r>
        <w:rPr>
          <w:color w:val="000000"/>
        </w:rPr>
        <w:t>.  In its first decision regarding the extent of protection afforded by the First Amendment, the Court sustained the Espionage Act of 1917, maintaining that freedom of speech and press could be constrained if "the words used are in such circumstances and are of such a nature as to create a clear and present danger. . ."</w:t>
      </w:r>
    </w:p>
    <w:p w:rsidR="00D201C9" w:rsidRDefault="00D201C9" w:rsidP="00D201C9">
      <w:pPr>
        <w:rPr>
          <w:color w:val="000000"/>
        </w:rPr>
      </w:pPr>
    </w:p>
    <w:p w:rsidR="00D201C9" w:rsidRDefault="00D201C9" w:rsidP="00D201C9">
      <w:pPr>
        <w:rPr>
          <w:color w:val="000000"/>
        </w:rPr>
      </w:pPr>
      <w:r>
        <w:rPr>
          <w:color w:val="000000"/>
        </w:rPr>
        <w:t xml:space="preserve">1935: </w:t>
      </w:r>
      <w:r>
        <w:rPr>
          <w:i/>
          <w:color w:val="000000"/>
        </w:rPr>
        <w:t>Schechter Poultry Corp. v. U.S</w:t>
      </w:r>
      <w:r>
        <w:rPr>
          <w:color w:val="000000"/>
        </w:rPr>
        <w:t>.  The Court ruled that Congress exceeded its authority to delegate legislative powers and to regulate interstate commerce when it enacted the National Industrial Recovery Act, which afforded the U.S. president too much discretionary power.</w:t>
      </w:r>
    </w:p>
    <w:p w:rsidR="00D201C9" w:rsidRDefault="00D201C9" w:rsidP="00D201C9">
      <w:pPr>
        <w:rPr>
          <w:color w:val="000000"/>
        </w:rPr>
      </w:pPr>
    </w:p>
    <w:p w:rsidR="00D201C9" w:rsidRDefault="00D201C9" w:rsidP="00D201C9">
      <w:pPr>
        <w:rPr>
          <w:color w:val="000000"/>
        </w:rPr>
      </w:pPr>
      <w:r>
        <w:rPr>
          <w:color w:val="000000"/>
        </w:rPr>
        <w:t xml:space="preserve">1954: </w:t>
      </w:r>
      <w:r>
        <w:rPr>
          <w:i/>
          <w:color w:val="000000"/>
        </w:rPr>
        <w:t>Brown v. Board of Education of Topeka</w:t>
      </w:r>
      <w:r>
        <w:rPr>
          <w:color w:val="000000"/>
        </w:rPr>
        <w:t xml:space="preserve">.  The Court ruled that separate public schools for black and white students were inherently unequal, thus state-sanctioned segregation in public schools violated the equal protection guarantee of the 14th Amendment. </w:t>
      </w:r>
      <w:proofErr w:type="gramStart"/>
      <w:r>
        <w:rPr>
          <w:color w:val="000000"/>
        </w:rPr>
        <w:t>And</w:t>
      </w:r>
      <w:proofErr w:type="gramEnd"/>
      <w:r>
        <w:rPr>
          <w:color w:val="000000"/>
        </w:rPr>
        <w:t xml:space="preserve"> in </w:t>
      </w:r>
      <w:proofErr w:type="spellStart"/>
      <w:r>
        <w:rPr>
          <w:color w:val="000000"/>
        </w:rPr>
        <w:t>Bolling</w:t>
      </w:r>
      <w:proofErr w:type="spellEnd"/>
      <w:r>
        <w:rPr>
          <w:color w:val="000000"/>
        </w:rPr>
        <w:t xml:space="preserve"> v. Sharpe the Court ruled that the congressionally-mandated segregated public school system in the District of Columbia violated the Fifth Amendment's due process guarantee of personal liberty. (The Brown ruling also led to the abolition of state-sponsored segregation in other public facilities.)</w:t>
      </w:r>
    </w:p>
    <w:p w:rsidR="00D201C9" w:rsidRDefault="00D201C9" w:rsidP="00D201C9">
      <w:pPr>
        <w:rPr>
          <w:color w:val="000000"/>
        </w:rPr>
      </w:pPr>
    </w:p>
    <w:p w:rsidR="00D201C9" w:rsidRDefault="00D201C9" w:rsidP="00D201C9">
      <w:pPr>
        <w:rPr>
          <w:color w:val="000000"/>
        </w:rPr>
      </w:pPr>
      <w:r>
        <w:rPr>
          <w:color w:val="000000"/>
        </w:rPr>
        <w:t xml:space="preserve">1957: </w:t>
      </w:r>
      <w:r>
        <w:rPr>
          <w:i/>
          <w:color w:val="000000"/>
        </w:rPr>
        <w:t>Roth v. U.S., Alberts v. California</w:t>
      </w:r>
      <w:r>
        <w:rPr>
          <w:color w:val="000000"/>
        </w:rPr>
        <w:t xml:space="preserve">.  The Court ruled that obscene material </w:t>
      </w:r>
      <w:proofErr w:type="gramStart"/>
      <w:r>
        <w:rPr>
          <w:color w:val="000000"/>
        </w:rPr>
        <w:t>was not protected</w:t>
      </w:r>
      <w:proofErr w:type="gramEnd"/>
      <w:r>
        <w:rPr>
          <w:color w:val="000000"/>
        </w:rPr>
        <w:t xml:space="preserve"> by the First Amendment guarantees of freedom of speech and press, defining obscene as "utterly without redeeming social value" and appealing to "prurient interests" in the view of the average person. (This definition, the first offered by the Court, was modified in several subsequent decisions, and the "average person" standard was replaced by the "local community" standard in the 1973 Miller v. California case.)</w:t>
      </w:r>
    </w:p>
    <w:p w:rsidR="00D201C9" w:rsidRDefault="00D201C9" w:rsidP="00D201C9">
      <w:pPr>
        <w:rPr>
          <w:color w:val="000000"/>
        </w:rPr>
      </w:pPr>
    </w:p>
    <w:p w:rsidR="00D201C9" w:rsidRDefault="00D201C9" w:rsidP="00D201C9">
      <w:pPr>
        <w:rPr>
          <w:color w:val="000000"/>
        </w:rPr>
      </w:pPr>
      <w:r>
        <w:rPr>
          <w:color w:val="000000"/>
        </w:rPr>
        <w:t xml:space="preserve">1962: </w:t>
      </w:r>
      <w:r>
        <w:rPr>
          <w:i/>
          <w:color w:val="000000"/>
        </w:rPr>
        <w:t>Engel v. Vitale</w:t>
      </w:r>
      <w:r>
        <w:rPr>
          <w:color w:val="000000"/>
        </w:rPr>
        <w:t>.  The Court ruled that public school officials could not require pupils to recite a state-composed prayer at the start of each school day, even if the prayer was non-denominational and pupils who so desired could be excused from reciting it, because such official state sanction of religious utterances was an unconstitutional attempt to establish religion.</w:t>
      </w:r>
    </w:p>
    <w:p w:rsidR="00D201C9" w:rsidRDefault="00D201C9" w:rsidP="00D201C9">
      <w:pPr>
        <w:rPr>
          <w:color w:val="000000"/>
        </w:rPr>
      </w:pPr>
    </w:p>
    <w:p w:rsidR="00D201C9" w:rsidRDefault="00D201C9" w:rsidP="00D201C9">
      <w:pPr>
        <w:rPr>
          <w:color w:val="000000"/>
        </w:rPr>
      </w:pPr>
    </w:p>
    <w:p w:rsidR="00D201C9" w:rsidRDefault="00D201C9" w:rsidP="00D201C9">
      <w:pPr>
        <w:rPr>
          <w:color w:val="000000"/>
        </w:rPr>
      </w:pPr>
      <w:r>
        <w:rPr>
          <w:color w:val="000000"/>
        </w:rPr>
        <w:lastRenderedPageBreak/>
        <w:t xml:space="preserve">1964: </w:t>
      </w:r>
      <w:r>
        <w:rPr>
          <w:i/>
          <w:color w:val="000000"/>
        </w:rPr>
        <w:t>New York Times Co. v. Sullivan</w:t>
      </w:r>
      <w:r>
        <w:rPr>
          <w:color w:val="000000"/>
        </w:rPr>
        <w:t xml:space="preserve">.  The Court ruled that the First Amendment guarantee of freedom of the press protected the press from libel suits for defamatory reports on public officials unless the officials proved that the reports </w:t>
      </w:r>
      <w:proofErr w:type="gramStart"/>
      <w:r>
        <w:rPr>
          <w:color w:val="000000"/>
        </w:rPr>
        <w:t>were made</w:t>
      </w:r>
      <w:proofErr w:type="gramEnd"/>
      <w:r>
        <w:rPr>
          <w:color w:val="000000"/>
        </w:rPr>
        <w:t xml:space="preserve"> from actual malice. The Court defined malice as "with knowledge that (the defamatory statement) was false or with reckless disregard of whether it was false or not."</w:t>
      </w:r>
    </w:p>
    <w:p w:rsidR="00D201C9" w:rsidRDefault="00D201C9" w:rsidP="00D201C9">
      <w:pPr>
        <w:rPr>
          <w:color w:val="000000"/>
        </w:rPr>
      </w:pPr>
    </w:p>
    <w:p w:rsidR="00D201C9" w:rsidRDefault="00D201C9" w:rsidP="00D201C9">
      <w:pPr>
        <w:rPr>
          <w:color w:val="000000"/>
        </w:rPr>
      </w:pPr>
      <w:r>
        <w:rPr>
          <w:color w:val="000000"/>
        </w:rPr>
        <w:t xml:space="preserve">1966: </w:t>
      </w:r>
      <w:r>
        <w:rPr>
          <w:i/>
          <w:color w:val="000000"/>
        </w:rPr>
        <w:t>Miranda v. Arizona</w:t>
      </w:r>
      <w:r>
        <w:rPr>
          <w:color w:val="000000"/>
        </w:rPr>
        <w:t xml:space="preserve">.  The Court ruled that the guarantee of due process required that before any questioning of suspects in police custody, the suspects </w:t>
      </w:r>
      <w:proofErr w:type="gramStart"/>
      <w:r>
        <w:rPr>
          <w:color w:val="000000"/>
        </w:rPr>
        <w:t>must be informed</w:t>
      </w:r>
      <w:proofErr w:type="gramEnd"/>
      <w:r>
        <w:rPr>
          <w:color w:val="000000"/>
        </w:rPr>
        <w:t xml:space="preserve"> of their right to remain silent, that anything they say may be used against them, and that they have the right to counsel.</w:t>
      </w:r>
    </w:p>
    <w:p w:rsidR="00D201C9" w:rsidRDefault="00D201C9" w:rsidP="00D201C9">
      <w:pPr>
        <w:rPr>
          <w:color w:val="000000"/>
        </w:rPr>
      </w:pPr>
    </w:p>
    <w:p w:rsidR="00D201C9" w:rsidRDefault="00D201C9" w:rsidP="00D201C9">
      <w:pPr>
        <w:rPr>
          <w:color w:val="000000"/>
        </w:rPr>
      </w:pPr>
      <w:r>
        <w:rPr>
          <w:color w:val="000000"/>
        </w:rPr>
        <w:t xml:space="preserve">1973: </w:t>
      </w:r>
      <w:r>
        <w:rPr>
          <w:i/>
          <w:color w:val="000000"/>
        </w:rPr>
        <w:t>Roe v. Wade</w:t>
      </w:r>
      <w:r>
        <w:rPr>
          <w:color w:val="000000"/>
        </w:rPr>
        <w:t xml:space="preserve">, </w:t>
      </w:r>
      <w:r>
        <w:rPr>
          <w:i/>
          <w:color w:val="000000"/>
        </w:rPr>
        <w:t>Doe v. Bolton</w:t>
      </w:r>
      <w:r>
        <w:rPr>
          <w:color w:val="000000"/>
        </w:rPr>
        <w:t xml:space="preserve">.  The Court ruled that the right to privacy inherent in the 14th Amendment's due process guarantee of personal liberty protected a woman's decision whether or not to bear a child, and </w:t>
      </w:r>
      <w:proofErr w:type="gramStart"/>
      <w:r>
        <w:rPr>
          <w:color w:val="000000"/>
        </w:rPr>
        <w:t>was impermissibly abridged</w:t>
      </w:r>
      <w:proofErr w:type="gramEnd"/>
      <w:r>
        <w:rPr>
          <w:color w:val="000000"/>
        </w:rPr>
        <w:t xml:space="preserve"> by state laws that made abortion a crime. During the first trimester of pregnancy, the Court maintained, the decision to have an abortion </w:t>
      </w:r>
      <w:proofErr w:type="gramStart"/>
      <w:r>
        <w:rPr>
          <w:color w:val="000000"/>
        </w:rPr>
        <w:t>should be left</w:t>
      </w:r>
      <w:proofErr w:type="gramEnd"/>
      <w:r>
        <w:rPr>
          <w:color w:val="000000"/>
        </w:rPr>
        <w:t xml:space="preserve"> entirely to a woman and her physician.</w:t>
      </w:r>
    </w:p>
    <w:p w:rsidR="00D201C9" w:rsidRDefault="00D201C9" w:rsidP="00D201C9">
      <w:pPr>
        <w:rPr>
          <w:color w:val="000000"/>
        </w:rPr>
      </w:pPr>
    </w:p>
    <w:p w:rsidR="00D201C9" w:rsidRDefault="00D201C9" w:rsidP="00D201C9">
      <w:pPr>
        <w:rPr>
          <w:color w:val="000000"/>
        </w:rPr>
      </w:pPr>
      <w:r>
        <w:rPr>
          <w:color w:val="000000"/>
        </w:rPr>
        <w:t xml:space="preserve">1974: </w:t>
      </w:r>
      <w:r>
        <w:rPr>
          <w:i/>
          <w:color w:val="000000"/>
        </w:rPr>
        <w:t>U.S. v. Nixon</w:t>
      </w:r>
      <w:r>
        <w:rPr>
          <w:color w:val="000000"/>
        </w:rPr>
        <w:t xml:space="preserve">.  The Court ruled that neither the separation of powers nor the need to preserve the confidentiality of presidential communications could alone justify an absolute executive privilege of immunity from judicial demands for evidence to </w:t>
      </w:r>
      <w:proofErr w:type="gramStart"/>
      <w:r>
        <w:rPr>
          <w:color w:val="000000"/>
        </w:rPr>
        <w:t>be used</w:t>
      </w:r>
      <w:proofErr w:type="gramEnd"/>
      <w:r>
        <w:rPr>
          <w:color w:val="000000"/>
        </w:rPr>
        <w:t xml:space="preserve"> in a criminal trial.</w:t>
      </w:r>
    </w:p>
    <w:p w:rsidR="00D201C9" w:rsidRDefault="00D201C9" w:rsidP="00D201C9">
      <w:pPr>
        <w:rPr>
          <w:color w:val="000000"/>
        </w:rPr>
      </w:pPr>
      <w:bookmarkStart w:id="0" w:name="_GoBack"/>
      <w:bookmarkEnd w:id="0"/>
    </w:p>
    <w:p w:rsidR="00D201C9" w:rsidRDefault="00D201C9" w:rsidP="00D201C9">
      <w:pPr>
        <w:rPr>
          <w:color w:val="000000"/>
        </w:rPr>
      </w:pPr>
      <w:r>
        <w:rPr>
          <w:color w:val="000000"/>
        </w:rPr>
        <w:t xml:space="preserve">1978: </w:t>
      </w:r>
      <w:r>
        <w:rPr>
          <w:i/>
          <w:color w:val="000000"/>
        </w:rPr>
        <w:t>Regents of Univ. of Calif. v. Bakke</w:t>
      </w:r>
      <w:r>
        <w:rPr>
          <w:color w:val="000000"/>
        </w:rPr>
        <w:t xml:space="preserve">.  </w:t>
      </w:r>
      <w:proofErr w:type="gramStart"/>
      <w:r>
        <w:rPr>
          <w:color w:val="000000"/>
        </w:rPr>
        <w:t>The Court ruled that a special admissions program for a state medical school under which a set number of places were set aside for minority group members, with white applicants denied the opportunity to compete for those seats, violated Title XIV of the 1964 Civil Rights Act, which forbids the exclusion of anyone, because of race, from participation in a federally-funded program.</w:t>
      </w:r>
      <w:proofErr w:type="gramEnd"/>
      <w:r>
        <w:rPr>
          <w:color w:val="000000"/>
        </w:rPr>
        <w:t xml:space="preserve"> The Court also ruled that admissions programs that considered race as one of a complex of factors involved in the decision to admit or reject an applicant were </w:t>
      </w:r>
      <w:proofErr w:type="gramStart"/>
      <w:r>
        <w:rPr>
          <w:color w:val="000000"/>
        </w:rPr>
        <w:t>not unconstitutional</w:t>
      </w:r>
      <w:proofErr w:type="gramEnd"/>
      <w:r>
        <w:rPr>
          <w:color w:val="000000"/>
        </w:rPr>
        <w:t>.</w:t>
      </w:r>
    </w:p>
    <w:p w:rsidR="00D201C9" w:rsidRDefault="00D201C9" w:rsidP="00D201C9">
      <w:pPr>
        <w:rPr>
          <w:color w:val="000000"/>
        </w:rPr>
      </w:pPr>
    </w:p>
    <w:p w:rsidR="00D201C9" w:rsidRDefault="00D201C9" w:rsidP="00D201C9">
      <w:pPr>
        <w:rPr>
          <w:color w:val="000000"/>
        </w:rPr>
      </w:pPr>
      <w:r>
        <w:rPr>
          <w:color w:val="000000"/>
        </w:rPr>
        <w:t xml:space="preserve">1979: </w:t>
      </w:r>
      <w:r>
        <w:rPr>
          <w:i/>
          <w:color w:val="000000"/>
        </w:rPr>
        <w:t>United Steelworkers of America v. Weber, Kaiser Aluminum v. Weber, U.S. v. Weber.</w:t>
      </w:r>
      <w:r>
        <w:rPr>
          <w:color w:val="000000"/>
        </w:rPr>
        <w:t xml:space="preserve">  The Court ruled that Title VII of the 1964 Civil Rights Act, which forbids racial discrimination in employment, did not forbid employers to adopt voluntarily race-conscious affirmative action programs to encourage minority participation in areas in which they traditionally </w:t>
      </w:r>
      <w:proofErr w:type="gramStart"/>
      <w:r>
        <w:rPr>
          <w:color w:val="000000"/>
        </w:rPr>
        <w:t>were underrepresented</w:t>
      </w:r>
      <w:proofErr w:type="gramEnd"/>
      <w:r>
        <w:rPr>
          <w:color w:val="000000"/>
        </w:rPr>
        <w:t>.</w:t>
      </w:r>
    </w:p>
    <w:p w:rsidR="00D201C9" w:rsidRDefault="00D201C9" w:rsidP="00D201C9">
      <w:pPr>
        <w:rPr>
          <w:color w:val="000000"/>
        </w:rPr>
      </w:pPr>
    </w:p>
    <w:p w:rsidR="00D201C9" w:rsidRDefault="00D201C9" w:rsidP="00D201C9">
      <w:pPr>
        <w:rPr>
          <w:color w:val="000000"/>
        </w:rPr>
      </w:pPr>
      <w:r>
        <w:rPr>
          <w:color w:val="000000"/>
        </w:rPr>
        <w:t xml:space="preserve">1986: </w:t>
      </w:r>
      <w:r>
        <w:rPr>
          <w:i/>
          <w:color w:val="000000"/>
        </w:rPr>
        <w:t>Bowers v. Hardwick</w:t>
      </w:r>
      <w:r>
        <w:rPr>
          <w:color w:val="000000"/>
        </w:rPr>
        <w:t xml:space="preserve">.  The Court refused to extend the right of privacy inherent in the Constitution to homosexual activity, upholding a Georgia law that made sodomy a crime. (Although the Georgia law covered heterosexual sodomy as well as homosexual sodomy, enforcement in Georgia and most other states </w:t>
      </w:r>
      <w:proofErr w:type="gramStart"/>
      <w:r>
        <w:rPr>
          <w:color w:val="000000"/>
        </w:rPr>
        <w:t>had been confined</w:t>
      </w:r>
      <w:proofErr w:type="gramEnd"/>
      <w:r>
        <w:rPr>
          <w:color w:val="000000"/>
        </w:rPr>
        <w:t xml:space="preserve"> to homosexual activity.)</w:t>
      </w:r>
    </w:p>
    <w:p w:rsidR="00D201C9" w:rsidRDefault="00D201C9" w:rsidP="00D201C9">
      <w:pPr>
        <w:rPr>
          <w:color w:val="000000"/>
        </w:rPr>
      </w:pPr>
    </w:p>
    <w:p w:rsidR="00D201C9" w:rsidRDefault="00D201C9" w:rsidP="00D201C9">
      <w:pPr>
        <w:rPr>
          <w:color w:val="000000"/>
        </w:rPr>
      </w:pPr>
      <w:r>
        <w:rPr>
          <w:color w:val="000000"/>
        </w:rPr>
        <w:t xml:space="preserve">1990: </w:t>
      </w:r>
      <w:r>
        <w:rPr>
          <w:i/>
          <w:color w:val="000000"/>
        </w:rPr>
        <w:t>Cruzan v. Missouri.</w:t>
      </w:r>
      <w:r>
        <w:rPr>
          <w:color w:val="000000"/>
        </w:rPr>
        <w:t xml:space="preserve">  The court ruled that a person had the right to refuse life-sustaining medical treatment. However, the Court also ruled that such treatment could not be withheld from comatose patients unless there was "clear and convincing evidence" that the person would not have wanted to live under those conditions.</w:t>
      </w:r>
    </w:p>
    <w:p w:rsidR="00540A38" w:rsidRDefault="00D201C9"/>
    <w:sectPr w:rsidR="00540A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C9"/>
    <w:rsid w:val="00471E27"/>
    <w:rsid w:val="00D201C9"/>
    <w:rsid w:val="00D94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EAA43"/>
  <w15:chartTrackingRefBased/>
  <w15:docId w15:val="{C967ACB8-622C-4713-87CA-3F714F9F3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1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Kathryn    IHS - Staff</dc:creator>
  <cp:keywords/>
  <dc:description/>
  <cp:lastModifiedBy>Kelly, Kathryn    IHS - Staff</cp:lastModifiedBy>
  <cp:revision>1</cp:revision>
  <dcterms:created xsi:type="dcterms:W3CDTF">2019-04-24T19:32:00Z</dcterms:created>
  <dcterms:modified xsi:type="dcterms:W3CDTF">2019-04-24T19:35:00Z</dcterms:modified>
</cp:coreProperties>
</file>